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Абдрахмановский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сельский Совет</w:t>
      </w:r>
    </w:p>
    <w:p>
      <w:pPr>
        <w:pStyle w:val="ConsPlusNormal"/>
        <w:ind w:right="-2"/>
        <w:jc w:val="center"/>
        <w:rPr>
          <w:rFonts w:ascii="Arial" w:hAnsi="Arial" w:cs="Arial"/>
          <w:b/>
          <w:strike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Альметьевского муниципального района Республики Татарстан</w:t>
      </w:r>
    </w:p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</w:p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</w:p>
    <w:p>
      <w:pPr>
        <w:pStyle w:val="ConsPlusNormal"/>
        <w:ind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«___» _________ 2022 года                                                                             №____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69"/>
        <w:gridCol w:w="4202"/>
      </w:tblGrid>
      <w:tr>
        <w:tc>
          <w:tcPr>
            <w:tcW w:w="5172" w:type="dxa"/>
          </w:tcPr>
          <w:p>
            <w:pPr>
              <w:widowControl w:val="0"/>
              <w:autoSpaceDE w:val="0"/>
              <w:autoSpaceDN w:val="0"/>
              <w:adjustRightInd w:val="0"/>
              <w:ind w:firstLine="708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ind w:firstLine="708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ind w:right="-3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 внесении изменений в решение Совета муниципального образования «Абдрахмановское сельское поселение» Альметьевского муниципального района Республики Татарстан от 27 декабря 2012 г. №48 «Об утверждении Правил землепользования 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застройки  Абдрахмановского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сельского поселения Альметьевского муниципального района Республики Татарстан»</w:t>
            </w:r>
          </w:p>
          <w:p>
            <w:pPr>
              <w:jc w:val="both"/>
              <w:rPr>
                <w:rFonts w:ascii="Arial" w:hAnsi="Arial" w:cs="Arial"/>
                <w:bCs/>
                <w:spacing w:val="-1"/>
                <w:sz w:val="24"/>
                <w:szCs w:val="24"/>
              </w:rPr>
            </w:pPr>
          </w:p>
        </w:tc>
        <w:tc>
          <w:tcPr>
            <w:tcW w:w="4681" w:type="dxa"/>
          </w:tcPr>
          <w:p>
            <w:pPr>
              <w:spacing w:line="341" w:lineRule="exact"/>
              <w:rPr>
                <w:rFonts w:ascii="Arial" w:hAnsi="Arial" w:cs="Arial"/>
                <w:bCs/>
                <w:spacing w:val="-1"/>
                <w:sz w:val="24"/>
                <w:szCs w:val="24"/>
              </w:rPr>
            </w:pPr>
          </w:p>
        </w:tc>
      </w:tr>
    </w:tbl>
    <w:p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Градостроительным кодексом Российской Федерации, Федеральным законом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от 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r>
        <w:rPr>
          <w:rFonts w:ascii="Arial" w:hAnsi="Arial" w:cs="Arial"/>
          <w:bCs/>
          <w:sz w:val="24"/>
          <w:szCs w:val="24"/>
        </w:rPr>
        <w:t xml:space="preserve">Абдрахмановское </w:t>
      </w:r>
      <w:r>
        <w:rPr>
          <w:rFonts w:ascii="Arial" w:hAnsi="Arial" w:cs="Arial"/>
          <w:sz w:val="24"/>
          <w:szCs w:val="24"/>
        </w:rPr>
        <w:t>сельское поселение» Альметьевского муниципального района, решением Совета Альметьевского муниципального района Республики Татарстан от 28 сентября 2021 г. №81 «О передаче части полномочий муниципального образования «Альметьевский муниципальный район Республики Татарстан» по решению отдельных вопросов местного значения в области градостроительной деятельности поселениям, находящимся на территории Альметьевского муниципального района»,</w:t>
      </w:r>
    </w:p>
    <w:p>
      <w:pPr>
        <w:widowControl w:val="0"/>
        <w:autoSpaceDE w:val="0"/>
        <w:autoSpaceDN w:val="0"/>
        <w:adjustRightInd w:val="0"/>
        <w:ind w:firstLine="708"/>
        <w:jc w:val="center"/>
        <w:outlineLvl w:val="0"/>
        <w:rPr>
          <w:rFonts w:ascii="Arial" w:hAnsi="Arial" w:cs="Arial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Абдрахмановский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сельский Совет РЕШИЛ:</w:t>
      </w:r>
    </w:p>
    <w:p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>
      <w:pPr>
        <w:pStyle w:val="ConsPlusNormal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1" w:name="P12"/>
      <w:bookmarkEnd w:id="1"/>
      <w:r>
        <w:rPr>
          <w:rFonts w:ascii="Arial" w:hAnsi="Arial" w:cs="Arial"/>
          <w:sz w:val="24"/>
          <w:szCs w:val="24"/>
        </w:rPr>
        <w:t>Внести в решение Совета муниципального образования «Абдрахмановское сельское поселение» Альметьевского муниципального района Республики Татарстан от 27 декабря 2012 г. №48 «Об утверждении Правил землепользования и застройки Абдрахмановского сельского поселения Альметьевского муниципального района Республики Татарстан» (с изменениями от 11 мая 2022 г. №45) следующие изменения:</w:t>
      </w:r>
    </w:p>
    <w:p>
      <w:pPr>
        <w:pStyle w:val="ConsPlusNormal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приложении к решению: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пункт 2 статьи 21 добавить подпункт следующего </w:t>
      </w:r>
      <w:proofErr w:type="gramStart"/>
      <w:r>
        <w:rPr>
          <w:rFonts w:ascii="Arial" w:hAnsi="Arial" w:cs="Arial"/>
          <w:sz w:val="24"/>
          <w:szCs w:val="24"/>
        </w:rPr>
        <w:t xml:space="preserve">содержания:   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     «- обнаружение мест захоронений погибших при защите Отечества, расположенных в границах муниципальных образований.»;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пункт 3 статьи 21 изложить в следующей редакции: «Предложения о внесении изменений в правила землепользования и застройки в комиссию направляются: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федеральными органами исполнительной власти в случаях, если правила землепользования и застройки могут воспрепятствовать функционированию, размещению объектов капитального строительства федерального значения;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органами исполнительной власти субъектов Российской Федерации в случаях, если правила землепользования и застройки могут воспрепятствовать </w:t>
      </w:r>
      <w:r>
        <w:rPr>
          <w:rFonts w:ascii="Arial" w:hAnsi="Arial" w:cs="Arial"/>
          <w:sz w:val="24"/>
          <w:szCs w:val="24"/>
        </w:rPr>
        <w:lastRenderedPageBreak/>
        <w:t>функционированию, размещению объектов капитального строительства регионального значения;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органами местного самоуправления муниципального района в случаях, если правила землепользования и застройки могут воспрепятствовать функционированию, размещению объектов капитального строительства местного значения;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органами местного самоуправления в случаях, если необходимо совершенствовать порядок регулирования землепользования и застройки на территории поселения;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4.1) органами местного самоуправления в случаях обнаружения мест </w:t>
      </w:r>
      <w:proofErr w:type="gramStart"/>
      <w:r>
        <w:rPr>
          <w:rFonts w:ascii="Arial" w:hAnsi="Arial" w:cs="Arial"/>
          <w:sz w:val="24"/>
          <w:szCs w:val="24"/>
        </w:rPr>
        <w:t>захоронений</w:t>
      </w:r>
      <w:proofErr w:type="gramEnd"/>
      <w:r>
        <w:rPr>
          <w:rFonts w:ascii="Arial" w:hAnsi="Arial" w:cs="Arial"/>
          <w:sz w:val="24"/>
          <w:szCs w:val="24"/>
        </w:rPr>
        <w:t xml:space="preserve"> погибших при защите Отечества, расположенных в границах муниципального образования;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физическими или юридическими лицами в инициативном порядке либо в случаях, если в результате применения правил землепользования и застройки земельные участки и объекты капитального строительства не используются эффективно, причиняется вред их правообладателям, снижается стоимость земельных участков и объектов капитального строительства, не реализуются права и законные интересы граждан и их объединений;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6) уполномоченным федеральным органом исполнительной власти или юридическим лицом, обеспечивающим реализацию принятого Правительством Российской Федерации решения о комплексном развитии территории, которое создано Российской Федерацией или в уставном (складочном) капитале которого доля Российской Федерации составляет более 50 процентов, или дочерним обществом, в уставном (складочном) капитале которого более 50 процентов долей принадлежит такому юридическому лицу;</w:t>
      </w: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 высшим исполнительным органом государственной власти субъекта Российской Федерации, органом местного самоуправления, принявшими решение о комплексном развитии территории, юридическим лицом, определенным субъектом Российской Федерации и обеспечивающим реализацию принятого субъектом Российской Федерации, главой местной администрации решения о комплексном развитии территории, которое создано субъектом Российской Федерации, муниципальным образованием или в уставном (складочном) капитале которого доля субъекта Российской Федерации, муниципального образования составляет более 50 процентов, или дочерним обществом, в уставном (складочном) капитале которого более 50 процентов долей принадлежит такому юридическому лицу, либо лицом, с которым заключен договор о комплексном развитии территории в целях реализации решения о комплексном развитии территории»;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 xml:space="preserve"> в статью 26: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таблиц</w:t>
      </w:r>
      <w:r>
        <w:rPr>
          <w:rFonts w:ascii="Arial" w:hAnsi="Arial" w:cs="Arial"/>
          <w:sz w:val="24"/>
          <w:szCs w:val="24"/>
        </w:rPr>
        <w:t>ах</w:t>
      </w:r>
      <w:r>
        <w:rPr>
          <w:rFonts w:ascii="Arial" w:hAnsi="Arial" w:cs="Arial"/>
          <w:sz w:val="24"/>
          <w:szCs w:val="24"/>
        </w:rPr>
        <w:t xml:space="preserve"> предельных размерах земельных участков и предельных параметрах разрешенного строительства, реконструкции объектов капитального строительства минимальную площадь для иных видов разрешен</w:t>
      </w:r>
      <w:r>
        <w:rPr>
          <w:rFonts w:ascii="Arial" w:hAnsi="Arial" w:cs="Arial"/>
          <w:sz w:val="24"/>
          <w:szCs w:val="24"/>
        </w:rPr>
        <w:t>ного строительства (зоны Ж1</w:t>
      </w:r>
      <w:r>
        <w:rPr>
          <w:rFonts w:ascii="Arial" w:hAnsi="Arial" w:cs="Arial"/>
          <w:sz w:val="24"/>
          <w:szCs w:val="24"/>
        </w:rPr>
        <w:t>) изменить с «1» на «н/у» (не подлежит установлению), для всех видов ра</w:t>
      </w:r>
      <w:r>
        <w:rPr>
          <w:rFonts w:ascii="Arial" w:hAnsi="Arial" w:cs="Arial"/>
          <w:sz w:val="24"/>
          <w:szCs w:val="24"/>
        </w:rPr>
        <w:t xml:space="preserve">зрешенного использования (зоны </w:t>
      </w:r>
      <w:r>
        <w:rPr>
          <w:rFonts w:ascii="Arial" w:hAnsi="Arial" w:cs="Arial"/>
          <w:sz w:val="24"/>
          <w:szCs w:val="24"/>
        </w:rPr>
        <w:t>Д1,</w:t>
      </w:r>
      <w:r>
        <w:rPr>
          <w:rFonts w:ascii="Arial" w:hAnsi="Arial" w:cs="Arial"/>
          <w:sz w:val="24"/>
          <w:szCs w:val="24"/>
        </w:rPr>
        <w:t xml:space="preserve"> Т1</w:t>
      </w:r>
      <w:r>
        <w:rPr>
          <w:rFonts w:ascii="Arial" w:hAnsi="Arial" w:cs="Arial"/>
          <w:sz w:val="24"/>
          <w:szCs w:val="24"/>
        </w:rPr>
        <w:t>) изменить с «1» на «н/у» (не подлежит установлению);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зоне СХ3. «Зона садоводства и дачных участков» условно разрешенные виды использования земельных участков и объектов капитального строительства исключить.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>
      <w:pPr>
        <w:jc w:val="both"/>
        <w:rPr>
          <w:rFonts w:ascii="Arial" w:hAnsi="Arial" w:cs="Arial"/>
          <w:sz w:val="24"/>
          <w:szCs w:val="24"/>
        </w:rPr>
      </w:pPr>
    </w:p>
    <w:p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 Обнародовать настоящее решение на специальных информационных стендах, расположенных на территории населенного пункта: с. </w:t>
      </w:r>
      <w:proofErr w:type="spellStart"/>
      <w:r>
        <w:rPr>
          <w:rFonts w:ascii="Arial" w:hAnsi="Arial" w:cs="Arial"/>
          <w:sz w:val="24"/>
          <w:szCs w:val="24"/>
        </w:rPr>
        <w:t>Абдрахманово</w:t>
      </w:r>
      <w:proofErr w:type="spellEnd"/>
      <w:r>
        <w:rPr>
          <w:rFonts w:ascii="Arial" w:hAnsi="Arial" w:cs="Arial"/>
          <w:sz w:val="24"/>
          <w:szCs w:val="24"/>
        </w:rPr>
        <w:t>, ул. Советская, д.77, разместить на «Официальном портале правовой информации Республики Татарстан</w:t>
      </w:r>
      <w:r>
        <w:rPr>
          <w:rFonts w:ascii="Arial" w:eastAsia="Calibri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(PRAVO.TATARSTAN.RU) и на сайте Альметьевского муниципального района в</w:t>
      </w:r>
      <w:r>
        <w:t xml:space="preserve"> </w:t>
      </w:r>
      <w:r>
        <w:rPr>
          <w:rFonts w:ascii="Arial" w:hAnsi="Arial" w:cs="Arial"/>
          <w:sz w:val="24"/>
          <w:szCs w:val="24"/>
        </w:rPr>
        <w:t>информационно-телекоммуникационной сети «Интернет».</w:t>
      </w:r>
    </w:p>
    <w:p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hyperlink r:id="rId7" w:history="1">
        <w:r>
          <w:rPr>
            <w:rStyle w:val="a6"/>
            <w:rFonts w:ascii="Arial" w:hAnsi="Arial" w:cs="Arial"/>
            <w:color w:val="000000"/>
            <w:sz w:val="24"/>
            <w:szCs w:val="24"/>
            <w:u w:val="none"/>
          </w:rPr>
          <w:t xml:space="preserve">Настоящее решение вступает в силу после его официального опубликования. </w:t>
        </w:r>
      </w:hyperlink>
    </w:p>
    <w:p>
      <w:pPr>
        <w:ind w:firstLine="709"/>
        <w:jc w:val="both"/>
        <w:rPr>
          <w:rFonts w:ascii="Arial" w:hAnsi="Arial" w:cs="Arial"/>
          <w:sz w:val="24"/>
          <w:szCs w:val="24"/>
          <w:lang w:val="tt-RU"/>
        </w:rPr>
      </w:pPr>
      <w:r>
        <w:rPr>
          <w:rFonts w:ascii="Arial" w:hAnsi="Arial" w:cs="Arial"/>
          <w:sz w:val="24"/>
          <w:szCs w:val="24"/>
        </w:rPr>
        <w:t xml:space="preserve">4. </w:t>
      </w:r>
      <w:r>
        <w:rPr>
          <w:rFonts w:ascii="Arial" w:hAnsi="Arial" w:cs="Arial"/>
          <w:sz w:val="24"/>
          <w:szCs w:val="24"/>
          <w:lang w:val="tt-RU"/>
        </w:rPr>
        <w:t>Контроль за исполнением настоящего решения оставляю за собой.</w:t>
      </w:r>
    </w:p>
    <w:p>
      <w:pPr>
        <w:ind w:firstLine="709"/>
        <w:jc w:val="both"/>
        <w:rPr>
          <w:rFonts w:ascii="Arial" w:hAnsi="Arial" w:cs="Arial"/>
          <w:sz w:val="24"/>
          <w:szCs w:val="24"/>
          <w:lang w:val="tt-RU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tt-RU"/>
        </w:rPr>
      </w:pPr>
    </w:p>
    <w:p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>
        <w:rPr>
          <w:rFonts w:ascii="Arial" w:hAnsi="Arial" w:cs="Arial"/>
          <w:bCs/>
          <w:sz w:val="24"/>
          <w:szCs w:val="24"/>
        </w:rPr>
        <w:t>Абдрахмановского</w:t>
      </w:r>
    </w:p>
    <w:p>
      <w:pPr>
        <w:widowControl w:val="0"/>
        <w:autoSpaceDE w:val="0"/>
        <w:autoSpaceDN w:val="0"/>
        <w:adjustRightInd w:val="0"/>
      </w:pPr>
      <w:r>
        <w:rPr>
          <w:rFonts w:ascii="Arial" w:hAnsi="Arial" w:cs="Arial"/>
          <w:sz w:val="24"/>
          <w:szCs w:val="24"/>
        </w:rPr>
        <w:t xml:space="preserve">сельского поселения                                                                          </w:t>
      </w:r>
      <w:r>
        <w:rPr>
          <w:rFonts w:ascii="Arial" w:hAnsi="Arial" w:cs="Arial"/>
          <w:bCs/>
          <w:sz w:val="24"/>
          <w:szCs w:val="24"/>
        </w:rPr>
        <w:t xml:space="preserve">Р.Ш. </w:t>
      </w:r>
      <w:proofErr w:type="spellStart"/>
      <w:r>
        <w:rPr>
          <w:rFonts w:ascii="Arial" w:hAnsi="Arial" w:cs="Arial"/>
          <w:bCs/>
          <w:sz w:val="24"/>
          <w:szCs w:val="24"/>
        </w:rPr>
        <w:t>Мутагиров</w:t>
      </w:r>
      <w:proofErr w:type="spellEnd"/>
    </w:p>
    <w:sectPr>
      <w:headerReference w:type="default" r:id="rId8"/>
      <w:footerReference w:type="even" r:id="rId9"/>
      <w:foot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1831417"/>
      <w:docPartObj>
        <w:docPartGallery w:val="Page Numbers (Top of Page)"/>
        <w:docPartUnique/>
      </w:docPartObj>
    </w:sdtPr>
    <w:sdtContent>
      <w:p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120299"/>
    <w:multiLevelType w:val="hybridMultilevel"/>
    <w:tmpl w:val="8160B550"/>
    <w:lvl w:ilvl="0" w:tplc="7AD84EF6">
      <w:start w:val="1"/>
      <w:numFmt w:val="decimal"/>
      <w:suff w:val="space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6C6B5-AE2B-4895-89EF-A720A9B2A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uiPriority w:val="99"/>
    <w:unhideWhenUsed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xn--80aughbh.xn--p1ai/tinybrowser/files/resheniya-2013/39.-ot-05.12.2013g.-o-peredach.polnomochiy-po-grad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dcterms:created xsi:type="dcterms:W3CDTF">2022-01-27T09:26:00Z</dcterms:created>
  <dcterms:modified xsi:type="dcterms:W3CDTF">2022-08-12T07:59:00Z</dcterms:modified>
</cp:coreProperties>
</file>